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FE57C7" w:rsidRDefault="00FE57C7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32"/>
          <w:szCs w:val="32"/>
        </w:rPr>
      </w:pPr>
      <w:r>
        <w:rPr>
          <w:rFonts w:ascii="Frutiger Neue LT Pro Light" w:hAnsi="Frutiger Neue LT Pro Light"/>
          <w:b/>
          <w:sz w:val="32"/>
          <w:szCs w:val="32"/>
        </w:rPr>
        <w:t>Gesundes Raumklima durch wohngesunde Produkte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C3614B" w:rsidRDefault="00FE57C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Wussten Sie, dass wir über 90 Prozent unserer Lebenszeit drinnen verbringen? Das erklärt, weshalb wir auf ein gesundes Raumklima achten sollten. Doch welche Baumaterialien sind schadstoffarm? </w:t>
      </w: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6B23E5" w:rsidRDefault="00FE57C7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ERLUS hat alle Schornsteinsysteme und das Lüftungsnetzwerk Via </w:t>
      </w:r>
      <w:proofErr w:type="spellStart"/>
      <w:r>
        <w:rPr>
          <w:rFonts w:ascii="Frutiger Neue LT Pro Light" w:hAnsi="Frutiger Neue LT Pro Light"/>
        </w:rPr>
        <w:t>Vento</w:t>
      </w:r>
      <w:proofErr w:type="spellEnd"/>
      <w:r>
        <w:rPr>
          <w:rFonts w:ascii="Frutiger Neue LT Pro Light" w:hAnsi="Frutiger Neue LT Pro Light"/>
        </w:rPr>
        <w:t xml:space="preserve"> S </w:t>
      </w:r>
      <w:r w:rsidR="006B23E5">
        <w:rPr>
          <w:rFonts w:ascii="Frutiger Neue LT Pro Light" w:hAnsi="Frutiger Neue LT Pro Light"/>
        </w:rPr>
        <w:t xml:space="preserve">vom SHI auf </w:t>
      </w:r>
      <w:r>
        <w:rPr>
          <w:rFonts w:ascii="Frutiger Neue LT Pro Light" w:hAnsi="Frutiger Neue LT Pro Light"/>
        </w:rPr>
        <w:t xml:space="preserve">gesundheitsgefährdende Substanzen </w:t>
      </w:r>
      <w:r w:rsidR="006B23E5">
        <w:rPr>
          <w:rFonts w:ascii="Frutiger Neue LT Pro Light" w:hAnsi="Frutiger Neue LT Pro Light"/>
        </w:rPr>
        <w:t xml:space="preserve">prüfen lassen. Das Ergebnis: Alle Materialien der ERLUS Schornsteinsysteme und des Lüftungsnetzwerks ERLUS Via </w:t>
      </w:r>
      <w:proofErr w:type="spellStart"/>
      <w:r w:rsidR="006B23E5">
        <w:rPr>
          <w:rFonts w:ascii="Frutiger Neue LT Pro Light" w:hAnsi="Frutiger Neue LT Pro Light"/>
        </w:rPr>
        <w:t>Vento</w:t>
      </w:r>
      <w:proofErr w:type="spellEnd"/>
      <w:r w:rsidR="006B23E5">
        <w:rPr>
          <w:rFonts w:ascii="Frutiger Neue LT Pro Light" w:hAnsi="Frutiger Neue LT Pro Light"/>
        </w:rPr>
        <w:t xml:space="preserve"> S entsprechen den aktuellen Anforderungen an wohngesunde Produkte. Sie leisten somit einen wichtigen Beitrag für Ihr schadstofffreies Haus. </w:t>
      </w:r>
    </w:p>
    <w:p w:rsidR="006B23E5" w:rsidRP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 w:rsidRPr="006B23E5">
        <w:rPr>
          <w:rFonts w:ascii="Frutiger Neue LT Pro Light" w:hAnsi="Frutiger Neue LT Pro Light"/>
          <w:b/>
        </w:rPr>
        <w:t xml:space="preserve">Datenbank für wohngesunde Bauprodukte </w:t>
      </w:r>
    </w:p>
    <w:p w:rsid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Unsere Bauprodukte sind deshalb auch in der </w:t>
      </w:r>
      <w:hyperlink r:id="rId8" w:history="1">
        <w:r w:rsidRPr="006B23E5">
          <w:rPr>
            <w:rStyle w:val="Hyperlink"/>
            <w:rFonts w:ascii="Frutiger Neue LT Pro Light" w:hAnsi="Frutiger Neue LT Pro Light"/>
          </w:rPr>
          <w:t>Online-Datenbank</w:t>
        </w:r>
      </w:hyperlink>
      <w:r>
        <w:rPr>
          <w:rFonts w:ascii="Frutiger Neue LT Pro Light" w:hAnsi="Frutiger Neue LT Pro Light"/>
        </w:rPr>
        <w:t xml:space="preserve"> des Sentinel Holding Instituts aufgelistet. Hier können sich Bauherren und Planer informieren, welche </w:t>
      </w:r>
      <w:r w:rsidR="00FE57C7" w:rsidRPr="00FE57C7">
        <w:rPr>
          <w:rFonts w:ascii="Frutiger Neue LT Pro Light" w:hAnsi="Frutiger Neue LT Pro Light"/>
        </w:rPr>
        <w:t xml:space="preserve">Bauprodukte </w:t>
      </w:r>
      <w:r w:rsidR="005839E5">
        <w:rPr>
          <w:rFonts w:ascii="Frutiger Neue LT Pro Light" w:hAnsi="Frutiger Neue LT Pro Light"/>
        </w:rPr>
        <w:t>i</w:t>
      </w:r>
      <w:r w:rsidR="00FE57C7" w:rsidRPr="00FE57C7">
        <w:rPr>
          <w:rFonts w:ascii="Frutiger Neue LT Pro Light" w:hAnsi="Frutiger Neue LT Pro Light"/>
        </w:rPr>
        <w:t>hres Gebäudes wirklich schadstoffarm sind</w:t>
      </w:r>
      <w:r>
        <w:rPr>
          <w:rFonts w:ascii="Frutiger Neue LT Pro Light" w:hAnsi="Frutiger Neue LT Pro Light"/>
        </w:rPr>
        <w:t xml:space="preserve">. Beim SHI finden Sie alle Baustoffe, die </w:t>
      </w:r>
      <w:bookmarkStart w:id="0" w:name="_GoBack"/>
      <w:bookmarkEnd w:id="0"/>
      <w:r>
        <w:rPr>
          <w:rFonts w:ascii="Frutiger Neue LT Pro Light" w:hAnsi="Frutiger Neue LT Pro Light"/>
        </w:rPr>
        <w:t xml:space="preserve">von renommierten, akkreditierten Prüfinstituten gründlich auf Schadstoffe untersucht und nach den SHI-Kriterien zertifiziert worden sind. </w:t>
      </w:r>
    </w:p>
    <w:p w:rsidR="006B23E5" w:rsidRP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 w:rsidRPr="006B23E5">
        <w:rPr>
          <w:rFonts w:ascii="Frutiger Neue LT Pro Light" w:hAnsi="Frutiger Neue LT Pro Light"/>
          <w:b/>
        </w:rPr>
        <w:t>Mit ERLUS Schornsteinsysteme förderfähig bauen</w:t>
      </w:r>
    </w:p>
    <w:p w:rsidR="006B23E5" w:rsidRDefault="006B23E5" w:rsidP="003E60FE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Wer beim Hausbau auf </w:t>
      </w:r>
      <w:hyperlink r:id="rId9" w:history="1">
        <w:r w:rsidRPr="006B23E5">
          <w:rPr>
            <w:rStyle w:val="Hyperlink"/>
            <w:rFonts w:ascii="Frutiger Neue LT Pro Light" w:hAnsi="Frutiger Neue LT Pro Light"/>
          </w:rPr>
          <w:t>Wohngesundheit</w:t>
        </w:r>
      </w:hyperlink>
      <w:r>
        <w:rPr>
          <w:rFonts w:ascii="Frutiger Neue LT Pro Light" w:hAnsi="Frutiger Neue LT Pro Light"/>
        </w:rPr>
        <w:t xml:space="preserve"> setzt und alle Fördertöpfe ausschöpfen möchte, braucht für verwendete Baustoffe qualifizierte Nachweise. ERLUS Schornsteinsysteme und Lüftungsnetzwerk Via </w:t>
      </w:r>
      <w:proofErr w:type="spellStart"/>
      <w:r>
        <w:rPr>
          <w:rFonts w:ascii="Frutiger Neue LT Pro Light" w:hAnsi="Frutiger Neue LT Pro Light"/>
        </w:rPr>
        <w:t>Vento</w:t>
      </w:r>
      <w:proofErr w:type="spellEnd"/>
      <w:r>
        <w:rPr>
          <w:rFonts w:ascii="Frutiger Neue LT Pro Light" w:hAnsi="Frutiger Neue LT Pro Light"/>
        </w:rPr>
        <w:t xml:space="preserve"> S sind als wohngesund und schadstoffarm vom SHI zertifiziert und damit auch für KfW-Förderungen geeignet. </w:t>
      </w:r>
    </w:p>
    <w:p w:rsidR="003E60FE" w:rsidRDefault="003E60FE">
      <w:pPr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EC7304" w:rsidRDefault="006B23E5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1743075" cy="1718471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420" cy="1739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60FE" w:rsidRPr="00EC7304" w:rsidRDefault="003E60F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043CFD" w:rsidRDefault="00043CF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Die ERLUS Schornsteinsysteme und das Lüftungsnetzwerk ERLUS Via </w:t>
      </w:r>
      <w:proofErr w:type="spellStart"/>
      <w:r>
        <w:rPr>
          <w:rFonts w:ascii="Frutiger Neue LT Pro Light" w:hAnsi="Frutiger Neue LT Pro Light" w:cs="Arial"/>
          <w:i/>
          <w:color w:val="000000"/>
        </w:rPr>
        <w:t>Vento</w:t>
      </w:r>
      <w:proofErr w:type="spellEnd"/>
      <w:r>
        <w:rPr>
          <w:rFonts w:ascii="Frutiger Neue LT Pro Light" w:hAnsi="Frutiger Neue LT Pro Light" w:cs="Arial"/>
          <w:i/>
          <w:color w:val="000000"/>
        </w:rPr>
        <w:t xml:space="preserve"> S sind vom SHI geprüft und als wohngesund zertifiziert. </w:t>
      </w:r>
    </w:p>
    <w:p w:rsidR="00043CFD" w:rsidRDefault="00043CFD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Logo: SHI</w:t>
      </w: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5839E5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1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2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3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3002E9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895" cy="5646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FE57C7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3CFD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29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02E9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39E5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5692"/>
    <w:rsid w:val="00696123"/>
    <w:rsid w:val="006A268C"/>
    <w:rsid w:val="006A74DA"/>
    <w:rsid w:val="006B23E5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42824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31A0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C66C1"/>
    <w:rsid w:val="008D19C3"/>
    <w:rsid w:val="008D3A41"/>
    <w:rsid w:val="008E315B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A32DC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2C6B"/>
    <w:rsid w:val="00B56E54"/>
    <w:rsid w:val="00B57D16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0696E"/>
    <w:rsid w:val="00C1702D"/>
    <w:rsid w:val="00C3614B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752E4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E57C7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452612E8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2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tinel-haus.de/de/suche?term=ERLUS" TargetMode="External"/><Relationship Id="rId13" Type="http://schemas.openxmlformats.org/officeDocument/2006/relationships/hyperlink" Target="http://erlu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erlus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lus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erlus.com/wohngesundheit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FA5EC-3F62-44F2-B221-3ABC19428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352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3008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6</cp:revision>
  <cp:lastPrinted>2020-01-16T08:35:00Z</cp:lastPrinted>
  <dcterms:created xsi:type="dcterms:W3CDTF">2024-11-13T08:01:00Z</dcterms:created>
  <dcterms:modified xsi:type="dcterms:W3CDTF">2025-01-28T07:41:00Z</dcterms:modified>
</cp:coreProperties>
</file>